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5F4DD" w14:textId="70EC52C3" w:rsidR="003413AE" w:rsidRDefault="003413AE" w:rsidP="008D7556">
      <w:pPr>
        <w:rPr>
          <w:b/>
          <w:sz w:val="24"/>
          <w:szCs w:val="24"/>
          <w:lang w:val="en-GB"/>
        </w:rPr>
      </w:pPr>
      <w:r>
        <w:rPr>
          <w:rFonts w:cstheme="minorHAnsi"/>
          <w:bCs/>
          <w:noProof/>
          <w:color w:val="000000"/>
          <w:sz w:val="16"/>
          <w:szCs w:val="16"/>
          <w:lang w:val="en-GB"/>
        </w:rPr>
        <w:drawing>
          <wp:anchor distT="0" distB="0" distL="114300" distR="114300" simplePos="0" relativeHeight="251660800" behindDoc="0" locked="0" layoutInCell="1" allowOverlap="1" wp14:anchorId="104F449F" wp14:editId="352FF0FC">
            <wp:simplePos x="0" y="0"/>
            <wp:positionH relativeFrom="margin">
              <wp:align>right</wp:align>
            </wp:positionH>
            <wp:positionV relativeFrom="paragraph">
              <wp:posOffset>-25400</wp:posOffset>
            </wp:positionV>
            <wp:extent cx="1009650" cy="71377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713776"/>
                    </a:xfrm>
                    <a:prstGeom prst="rect">
                      <a:avLst/>
                    </a:prstGeom>
                  </pic:spPr>
                </pic:pic>
              </a:graphicData>
            </a:graphic>
            <wp14:sizeRelH relativeFrom="margin">
              <wp14:pctWidth>0</wp14:pctWidth>
            </wp14:sizeRelH>
            <wp14:sizeRelV relativeFrom="margin">
              <wp14:pctHeight>0</wp14:pctHeight>
            </wp14:sizeRelV>
          </wp:anchor>
        </w:drawing>
      </w:r>
      <w:r>
        <w:rPr>
          <w:noProof/>
          <w:snapToGrid/>
        </w:rPr>
        <w:drawing>
          <wp:anchor distT="0" distB="0" distL="114300" distR="114300" simplePos="0" relativeHeight="251658752" behindDoc="0" locked="0" layoutInCell="1" allowOverlap="1" wp14:anchorId="422BF16D" wp14:editId="4CAB8DD2">
            <wp:simplePos x="0" y="0"/>
            <wp:positionH relativeFrom="margin">
              <wp:align>left</wp:align>
            </wp:positionH>
            <wp:positionV relativeFrom="paragraph">
              <wp:posOffset>-26670</wp:posOffset>
            </wp:positionV>
            <wp:extent cx="2058035" cy="588010"/>
            <wp:effectExtent l="0" t="0" r="0" b="254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8035" cy="588010"/>
                    </a:xfrm>
                    <a:prstGeom prst="rect">
                      <a:avLst/>
                    </a:prstGeom>
                  </pic:spPr>
                </pic:pic>
              </a:graphicData>
            </a:graphic>
          </wp:anchor>
        </w:drawing>
      </w:r>
    </w:p>
    <w:p w14:paraId="083A2EC4" w14:textId="17F01899" w:rsidR="003413AE" w:rsidRDefault="003413AE" w:rsidP="008D7556">
      <w:pPr>
        <w:rPr>
          <w:b/>
          <w:sz w:val="24"/>
          <w:szCs w:val="24"/>
          <w:lang w:val="en-GB"/>
        </w:rPr>
      </w:pPr>
    </w:p>
    <w:p w14:paraId="5B8ACD2B" w14:textId="77777777" w:rsidR="003413AE" w:rsidRDefault="003413AE" w:rsidP="008D7556">
      <w:pPr>
        <w:rPr>
          <w:b/>
          <w:sz w:val="24"/>
          <w:szCs w:val="24"/>
          <w:lang w:val="en-GB"/>
        </w:rPr>
      </w:pPr>
    </w:p>
    <w:p w14:paraId="0573C245" w14:textId="105D955F" w:rsidR="003413AE" w:rsidRDefault="003413AE" w:rsidP="008D7556">
      <w:pPr>
        <w:rPr>
          <w:b/>
          <w:sz w:val="24"/>
          <w:szCs w:val="24"/>
          <w:lang w:val="en-GB"/>
        </w:rPr>
      </w:pPr>
    </w:p>
    <w:p w14:paraId="015BBEB8" w14:textId="77777777" w:rsidR="003413AE" w:rsidRDefault="003413AE" w:rsidP="008D7556">
      <w:pPr>
        <w:rPr>
          <w:b/>
          <w:sz w:val="24"/>
          <w:szCs w:val="24"/>
          <w:lang w:val="en-GB"/>
        </w:rPr>
      </w:pPr>
    </w:p>
    <w:p w14:paraId="65723509" w14:textId="1A6D221C" w:rsidR="00F16BF1" w:rsidRDefault="000E11A6" w:rsidP="003413AE">
      <w:pPr>
        <w:jc w:val="cente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p>
    <w:p w14:paraId="6572350A" w14:textId="77777777" w:rsidR="00EE7E83" w:rsidRPr="008D7556" w:rsidRDefault="00EE7E83" w:rsidP="008D7556">
      <w:pPr>
        <w:rPr>
          <w:b/>
          <w:sz w:val="24"/>
          <w:szCs w:val="24"/>
          <w:lang w:val="is-IS"/>
        </w:rPr>
      </w:pPr>
    </w:p>
    <w:p w14:paraId="6572350B" w14:textId="34A93CCD" w:rsidR="00F16BF1" w:rsidRPr="003F7055" w:rsidRDefault="00F16BF1" w:rsidP="00FA3EEE">
      <w:pPr>
        <w:jc w:val="both"/>
        <w:rPr>
          <w:sz w:val="18"/>
          <w:szCs w:val="18"/>
          <w:lang w:val="en-GB"/>
        </w:rPr>
      </w:pPr>
      <w:r w:rsidRPr="003F7055">
        <w:rPr>
          <w:sz w:val="18"/>
          <w:szCs w:val="18"/>
          <w:highlight w:val="cyan"/>
          <w:lang w:val="en-GB"/>
        </w:rPr>
        <w:t>[This template can be adapted by the NA or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NAs/HEIs that should be deleted; yellow code: NA/HEI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77777777"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r w:rsidRPr="00F15541">
        <w:rPr>
          <w:highlight w:val="yellow"/>
          <w:lang w:val="en-GB"/>
        </w:rPr>
        <w:t>..</w:t>
      </w:r>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18B1E892" w:rsidR="00735E06" w:rsidRPr="004F6A0D" w:rsidRDefault="008E567A" w:rsidP="00BF73B3">
      <w:pPr>
        <w:ind w:left="2552" w:hanging="2552"/>
        <w:rPr>
          <w:rFonts w:ascii="Verdana" w:hAnsi="Verdana" w:cs="Calibri"/>
          <w:lang w:val="en-GB"/>
        </w:rPr>
      </w:pPr>
      <w:r w:rsidRPr="00D55643">
        <w:rPr>
          <w:highlight w:val="cyan"/>
          <w:lang w:val="en-GB"/>
        </w:rPr>
        <w:t>[NA to select if applicable]</w:t>
      </w:r>
      <w:r w:rsidR="000841D2">
        <w:rPr>
          <w:lang w:val="en-GB"/>
        </w:rPr>
        <w:t xml:space="preserve">  </w:t>
      </w:r>
      <w:r w:rsidR="008A1E85">
        <w:rPr>
          <w:lang w:val="en-GB"/>
        </w:rPr>
        <w:t xml:space="preserve">     </w:t>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C" w14:textId="118D7AEE" w:rsidR="00EE7E83" w:rsidRDefault="00EE7E83" w:rsidP="003413AE">
      <w:pPr>
        <w:tabs>
          <w:tab w:val="left" w:pos="1985"/>
        </w:tabs>
        <w:rPr>
          <w:b/>
          <w:sz w:val="24"/>
          <w:szCs w:val="24"/>
          <w:lang w:val="is-IS"/>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A3FF0E1" w:rsidR="00316A78" w:rsidRDefault="00316A78" w:rsidP="00065470">
      <w:pPr>
        <w:jc w:val="both"/>
        <w:rPr>
          <w:u w:val="single"/>
          <w:lang w:val="en-GB"/>
        </w:rPr>
      </w:pPr>
    </w:p>
    <w:p w14:paraId="0208DCA1" w14:textId="77777777" w:rsidR="00903FA0" w:rsidRDefault="00903FA0"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lastRenderedPageBreak/>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1AEAC99E"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w:t>
      </w:r>
      <w:r w:rsidR="00E633D7">
        <w:rPr>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EA04C6">
        <w:rPr>
          <w:highlight w:val="yellow"/>
          <w:lang w:val="en-GB"/>
        </w:rPr>
        <w:t>, 1 day per mobility period for invited staff from enterprises for teaching</w:t>
      </w:r>
      <w:r w:rsidR="008E6044">
        <w:rPr>
          <w:highlight w:val="yellow"/>
          <w:lang w:val="en-GB"/>
        </w:rPr>
        <w:t>)</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71FE0D20"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AB150C">
        <w:rPr>
          <w:lang w:val="en-GB"/>
        </w:rPr>
        <w:t>[</w:t>
      </w:r>
      <w:r w:rsidR="002936F5">
        <w:rPr>
          <w:highlight w:val="lightGray"/>
          <w:lang w:val="en-GB"/>
        </w:rPr>
        <w:t>F</w:t>
      </w:r>
      <w:r w:rsidR="00AB150C" w:rsidRPr="00E633D7">
        <w:rPr>
          <w:highlight w:val="lightGray"/>
          <w:lang w:val="en-GB"/>
        </w:rPr>
        <w:t>or teaching mobility</w:t>
      </w:r>
      <w:r w:rsidR="00FA3EEE" w:rsidRPr="00E633D7">
        <w:rPr>
          <w:highlight w:val="lightGray"/>
          <w:lang w:val="en-GB"/>
        </w:rPr>
        <w:t xml:space="preserve"> </w:t>
      </w:r>
      <w:r w:rsidR="001204DC" w:rsidRPr="00E633D7">
        <w:rPr>
          <w:highlight w:val="lightGray"/>
          <w:lang w:val="en-GB"/>
        </w:rPr>
        <w:t xml:space="preserve">for HIGHER EDUCATION </w:t>
      </w:r>
      <w:r w:rsidR="00850CDF" w:rsidRPr="00E633D7">
        <w:rPr>
          <w:highlight w:val="lightGray"/>
          <w:lang w:val="en-GB"/>
        </w:rPr>
        <w:t>only</w:t>
      </w:r>
      <w:r w:rsidR="00AB150C" w:rsidRPr="00FA3EEE">
        <w:rPr>
          <w:highlight w:val="yellow"/>
          <w:lang w:val="en-GB"/>
        </w:rPr>
        <w:t>:</w:t>
      </w:r>
      <w:r w:rsidR="008E6044" w:rsidRPr="008E6044">
        <w:rPr>
          <w:highlight w:val="yellow"/>
          <w:lang w:val="en-GB"/>
        </w:rPr>
        <w:t xml:space="preserve"> </w:t>
      </w:r>
      <w:r w:rsidR="008E6044" w:rsidRPr="008C6FF7">
        <w:rPr>
          <w:highlight w:val="yellow"/>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w:t>
      </w:r>
      <w:r w:rsidR="008E6044" w:rsidRPr="004C2220">
        <w:rPr>
          <w:highlight w:val="yellow"/>
          <w:lang w:val="en-GB"/>
        </w:rPr>
        <w:t>invited staff from enterprises.</w:t>
      </w:r>
      <w:r w:rsidR="008E6044" w:rsidRPr="008E6044">
        <w:rPr>
          <w:lang w:val="en-GB"/>
        </w:rPr>
        <w:t xml:space="preserve"> </w:t>
      </w:r>
    </w:p>
    <w:p w14:paraId="65723544" w14:textId="39B8BD0C"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001B56A7">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6F7F28A" w:rsidR="00FA56BC" w:rsidRDefault="00FA56BC">
      <w:pPr>
        <w:pStyle w:val="Text1"/>
        <w:spacing w:after="0"/>
        <w:ind w:left="0"/>
        <w:rPr>
          <w:sz w:val="20"/>
          <w:u w:val="single"/>
          <w:lang w:val="en-GB"/>
        </w:rPr>
      </w:pPr>
    </w:p>
    <w:p w14:paraId="2120A094" w14:textId="77777777" w:rsidR="00903FA0" w:rsidRPr="00735E06" w:rsidRDefault="00903FA0">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12F51A2F" w:rsidR="00742EF8" w:rsidRPr="00527128" w:rsidRDefault="00742EF8" w:rsidP="00742EF8">
      <w:pPr>
        <w:jc w:val="both"/>
        <w:rPr>
          <w:lang w:val="en-GB"/>
        </w:rPr>
      </w:pPr>
      <w:r>
        <w:rPr>
          <w:lang w:val="en-GB"/>
        </w:rPr>
        <w:t>3.1.</w:t>
      </w:r>
      <w:r w:rsidRPr="003774FA">
        <w:rPr>
          <w:highlight w:val="cyan"/>
          <w:lang w:val="en-GB"/>
        </w:rPr>
        <w:t>[</w:t>
      </w:r>
      <w:r w:rsidR="00903FA0">
        <w:rPr>
          <w:highlight w:val="cyan"/>
          <w:lang w:val="en-GB"/>
        </w:rPr>
        <w:t>I</w:t>
      </w:r>
      <w:r w:rsidRPr="003774FA">
        <w:rPr>
          <w:highlight w:val="cyan"/>
          <w:lang w:val="en-GB"/>
        </w:rPr>
        <w:t xml:space="preserve">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01BB26C0"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03CA4F79" w14:textId="77777777" w:rsidR="00903FA0" w:rsidRDefault="00903FA0" w:rsidP="00FF1545">
      <w:pPr>
        <w:ind w:left="567" w:hanging="567"/>
        <w:jc w:val="both"/>
        <w:rPr>
          <w:lang w:val="en-GB"/>
        </w:rPr>
      </w:pP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lastRenderedPageBreak/>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53949F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07B674EC" w14:textId="16297004" w:rsidR="00903FA0" w:rsidRDefault="00903FA0" w:rsidP="009B7B70">
      <w:pPr>
        <w:tabs>
          <w:tab w:val="left" w:pos="567"/>
        </w:tabs>
        <w:ind w:left="567" w:hanging="567"/>
        <w:jc w:val="both"/>
        <w:rPr>
          <w:lang w:val="en-GB"/>
        </w:rPr>
      </w:pPr>
    </w:p>
    <w:p w14:paraId="041405BC" w14:textId="77777777" w:rsidR="00903FA0" w:rsidRDefault="00903FA0" w:rsidP="00903FA0">
      <w:pPr>
        <w:pBdr>
          <w:bottom w:val="single" w:sz="6" w:space="1" w:color="auto"/>
        </w:pBdr>
        <w:jc w:val="both"/>
        <w:rPr>
          <w:snapToGrid/>
          <w:lang w:val="en-GB"/>
        </w:rPr>
      </w:pPr>
      <w:r>
        <w:rPr>
          <w:lang w:val="en-GB"/>
        </w:rPr>
        <w:t>ARTICLE 6 – INSURANCE</w:t>
      </w:r>
    </w:p>
    <w:p w14:paraId="0F2CA23D" w14:textId="77777777" w:rsidR="00903FA0" w:rsidRDefault="00903FA0" w:rsidP="00903FA0">
      <w:pPr>
        <w:ind w:left="567" w:hanging="567"/>
        <w:jc w:val="both"/>
        <w:rPr>
          <w:lang w:val="en-GB"/>
        </w:rPr>
      </w:pPr>
      <w:r>
        <w:rPr>
          <w:lang w:val="en-GB"/>
        </w:rPr>
        <w:t>6.1</w:t>
      </w:r>
      <w:r>
        <w:rPr>
          <w:lang w:val="en-GB"/>
        </w:rPr>
        <w:tab/>
        <w:t xml:space="preserve">The participant shall have adequate insurance coverage. </w:t>
      </w:r>
      <w:r>
        <w:rPr>
          <w:highlight w:val="cyan"/>
          <w:lang w:val="en-GB"/>
        </w:rPr>
        <w:t>[The institution shall add a clause to this agreement in order to ensure that participants are clearly informed about issues related to insurances. It shall always highlight what is mandatory or recommended. For mandatory insurances, the agent responsible who takes the insurance (institution or participant) must be stated. The following information is required: the insurance number/reference and the insurance company. This depends highly on the legal and administrative provisions in the sending and receiving country.]</w:t>
      </w:r>
      <w:r>
        <w:rPr>
          <w:lang w:val="en-GB"/>
        </w:rPr>
        <w:t xml:space="preserve"> </w:t>
      </w:r>
    </w:p>
    <w:p w14:paraId="3E58C6B1" w14:textId="77777777" w:rsidR="00903FA0" w:rsidRDefault="00903FA0" w:rsidP="00903FA0">
      <w:pPr>
        <w:numPr>
          <w:ilvl w:val="0"/>
          <w:numId w:val="10"/>
        </w:numPr>
        <w:snapToGrid w:val="0"/>
        <w:jc w:val="both"/>
        <w:rPr>
          <w:lang w:val="en-GB"/>
        </w:rPr>
      </w:pPr>
      <w:r>
        <w:rPr>
          <w:lang w:val="en-GB"/>
        </w:rPr>
        <w:t>Insurance number/reference: …………………………………………………………………………….</w:t>
      </w:r>
    </w:p>
    <w:p w14:paraId="6ECB478B" w14:textId="77777777" w:rsidR="00903FA0" w:rsidRDefault="00903FA0" w:rsidP="00903FA0">
      <w:pPr>
        <w:numPr>
          <w:ilvl w:val="0"/>
          <w:numId w:val="10"/>
        </w:numPr>
        <w:snapToGrid w:val="0"/>
        <w:jc w:val="both"/>
        <w:rPr>
          <w:lang w:val="en-GB"/>
        </w:rPr>
      </w:pPr>
      <w:r>
        <w:rPr>
          <w:lang w:val="en-GB"/>
        </w:rPr>
        <w:t>Insurance company: ……………………………………………………………………………………..</w:t>
      </w:r>
    </w:p>
    <w:p w14:paraId="07849822" w14:textId="77777777" w:rsidR="00903FA0" w:rsidRDefault="00903FA0" w:rsidP="00903FA0">
      <w:pPr>
        <w:numPr>
          <w:ilvl w:val="0"/>
          <w:numId w:val="10"/>
        </w:numPr>
        <w:snapToGrid w:val="0"/>
        <w:jc w:val="both"/>
        <w:rPr>
          <w:lang w:val="en-GB"/>
        </w:rPr>
      </w:pPr>
      <w:r>
        <w:rPr>
          <w:lang w:val="en-GB"/>
        </w:rPr>
        <w:t>Name of the Agent responsible (Higher Education Institutions or Participant):…………………… …………………………………………………………………………………………………………….</w:t>
      </w:r>
    </w:p>
    <w:p w14:paraId="6572355B" w14:textId="77777777" w:rsidR="00F96310" w:rsidRPr="00067DF7" w:rsidRDefault="00F96310">
      <w:pPr>
        <w:rPr>
          <w:lang w:val="en-GB"/>
        </w:rPr>
      </w:pPr>
    </w:p>
    <w:p w14:paraId="6572355C" w14:textId="7D3FCBC2"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903FA0">
        <w:rPr>
          <w:lang w:val="en-GB"/>
        </w:rPr>
        <w:t>7</w:t>
      </w:r>
      <w:r w:rsidR="00F96310" w:rsidRPr="00FA56BC">
        <w:rPr>
          <w:lang w:val="en-GB"/>
        </w:rPr>
        <w:t xml:space="preserve"> – LAW APPLICABLE AND COMPETENT COURT</w:t>
      </w:r>
    </w:p>
    <w:p w14:paraId="6572355D" w14:textId="0EDFFEB8" w:rsidR="005161E6" w:rsidRDefault="00903FA0"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w:t>
      </w:r>
      <w:r>
        <w:rPr>
          <w:lang w:val="en-GB"/>
        </w:rPr>
        <w:t>by Ireland.</w:t>
      </w:r>
    </w:p>
    <w:p w14:paraId="6572355E" w14:textId="0038A8EE" w:rsidR="005161E6" w:rsidRDefault="00903FA0"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430780">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418" w:header="720" w:footer="720" w:gutter="0"/>
          <w:cols w:space="720"/>
          <w:titlePg/>
        </w:sectPr>
      </w:pPr>
      <w:bookmarkStart w:id="0" w:name="_GoBack"/>
      <w:bookmarkEnd w:id="0"/>
    </w:p>
    <w:p w14:paraId="6572357C" w14:textId="77777777" w:rsidR="00BC384A" w:rsidRPr="001B56A7" w:rsidRDefault="00BC384A" w:rsidP="00986E2C">
      <w:pPr>
        <w:tabs>
          <w:tab w:val="left" w:pos="360"/>
        </w:tabs>
        <w:jc w:val="center"/>
        <w:rPr>
          <w:b/>
          <w:lang w:val="en-GB"/>
        </w:rPr>
      </w:pPr>
      <w:r w:rsidRPr="001B56A7">
        <w:rPr>
          <w:b/>
          <w:lang w:val="en-GB"/>
        </w:rPr>
        <w:lastRenderedPageBreak/>
        <w:t>Annex II</w:t>
      </w:r>
    </w:p>
    <w:p w14:paraId="6572357D" w14:textId="77777777" w:rsidR="00BC384A" w:rsidRPr="001B56A7" w:rsidRDefault="00BC384A" w:rsidP="00986E2C">
      <w:pPr>
        <w:tabs>
          <w:tab w:val="left" w:pos="360"/>
        </w:tabs>
        <w:jc w:val="center"/>
        <w:rPr>
          <w:rFonts w:ascii="Arial" w:hAnsi="Arial"/>
          <w:b/>
          <w:lang w:val="en-GB"/>
        </w:rPr>
      </w:pPr>
    </w:p>
    <w:p w14:paraId="6572357E" w14:textId="77777777" w:rsidR="00986E2C" w:rsidRPr="001B56A7" w:rsidRDefault="00986E2C" w:rsidP="00986E2C">
      <w:pPr>
        <w:tabs>
          <w:tab w:val="left" w:pos="360"/>
        </w:tabs>
        <w:jc w:val="center"/>
        <w:rPr>
          <w:rFonts w:ascii="Arial" w:hAnsi="Arial"/>
          <w:b/>
          <w:lang w:val="en-GB"/>
        </w:rPr>
      </w:pPr>
    </w:p>
    <w:p w14:paraId="6572357F" w14:textId="77777777" w:rsidR="00137EB2" w:rsidRPr="001B56A7" w:rsidRDefault="00137EB2" w:rsidP="00137EB2">
      <w:pPr>
        <w:tabs>
          <w:tab w:val="left" w:pos="360"/>
        </w:tabs>
        <w:jc w:val="center"/>
        <w:rPr>
          <w:b/>
          <w:sz w:val="24"/>
          <w:szCs w:val="24"/>
          <w:lang w:val="en-GB"/>
        </w:rPr>
      </w:pPr>
      <w:r w:rsidRPr="001B56A7">
        <w:rPr>
          <w:b/>
          <w:sz w:val="24"/>
          <w:szCs w:val="24"/>
          <w:lang w:val="en-GB"/>
        </w:rPr>
        <w:t>GENERAL CONDITIONS</w:t>
      </w:r>
    </w:p>
    <w:p w14:paraId="65723580" w14:textId="77777777" w:rsidR="00137EB2" w:rsidRPr="001B56A7" w:rsidRDefault="00137EB2" w:rsidP="00137EB2">
      <w:pPr>
        <w:tabs>
          <w:tab w:val="left" w:pos="360"/>
        </w:tabs>
        <w:rPr>
          <w:rFonts w:ascii="Arial" w:hAnsi="Arial"/>
          <w:lang w:val="en-GB"/>
        </w:rPr>
      </w:pPr>
    </w:p>
    <w:p w14:paraId="65723581" w14:textId="77777777" w:rsidR="00137EB2" w:rsidRPr="001B56A7" w:rsidRDefault="00137EB2" w:rsidP="00137EB2">
      <w:pPr>
        <w:tabs>
          <w:tab w:val="left" w:pos="360"/>
        </w:tabs>
        <w:rPr>
          <w:rFonts w:ascii="Arial" w:hAnsi="Arial"/>
          <w:lang w:val="en-GB"/>
        </w:rPr>
      </w:pPr>
    </w:p>
    <w:p w14:paraId="65723582" w14:textId="77777777" w:rsidR="00137EB2" w:rsidRPr="001B56A7" w:rsidRDefault="00137EB2" w:rsidP="00137EB2">
      <w:pPr>
        <w:keepNext/>
        <w:rPr>
          <w:b/>
          <w:sz w:val="18"/>
          <w:szCs w:val="18"/>
          <w:lang w:val="en-GB"/>
        </w:rPr>
      </w:pPr>
      <w:r w:rsidRPr="001B56A7">
        <w:rPr>
          <w:b/>
          <w:sz w:val="18"/>
          <w:szCs w:val="18"/>
          <w:lang w:val="en-GB"/>
        </w:rPr>
        <w:t>Article 1: Liability</w:t>
      </w:r>
    </w:p>
    <w:p w14:paraId="65723583" w14:textId="77777777" w:rsidR="00137EB2" w:rsidRPr="001B56A7"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03898A33"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1E3542" w:rsidRPr="001E3542">
        <w:rPr>
          <w:sz w:val="18"/>
          <w:szCs w:val="18"/>
          <w:lang w:val="en-GB"/>
        </w:rPr>
        <w:t xml:space="preserve">Ireland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of</w:t>
      </w:r>
      <w:r w:rsidR="001E3542">
        <w:rPr>
          <w:sz w:val="18"/>
          <w:szCs w:val="18"/>
          <w:lang w:val="en-GB"/>
        </w:rPr>
        <w:t xml:space="preserve"> Ireland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4C5B107E"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of</w:t>
      </w:r>
      <w:r w:rsidR="001E3542">
        <w:rPr>
          <w:sz w:val="18"/>
          <w:szCs w:val="18"/>
          <w:lang w:val="en-GB"/>
        </w:rPr>
        <w:t xml:space="preserve"> Ireland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1E3542">
        <w:rPr>
          <w:sz w:val="18"/>
          <w:szCs w:val="18"/>
          <w:lang w:val="en-GB"/>
        </w:rPr>
        <w:t xml:space="preserve"> ireland</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9"/>
          <w:footerReference w:type="default" r:id="rId20"/>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31FFF83F"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903FA0">
      <w:rPr>
        <w:rStyle w:val="PageNumber"/>
        <w:noProof/>
        <w:szCs w:val="24"/>
      </w:rPr>
      <w:t>2</w:t>
    </w:r>
    <w:r>
      <w:rPr>
        <w:rStyle w:val="PageNumber"/>
        <w:szCs w:val="24"/>
      </w:rPr>
      <w:fldChar w:fldCharType="end"/>
    </w:r>
  </w:p>
  <w:p w14:paraId="657235A6" w14:textId="626D54D9" w:rsidR="00623986" w:rsidRDefault="00430780">
    <w:pPr>
      <w:pStyle w:val="Footer"/>
      <w:ind w:right="360"/>
      <w:rPr>
        <w:szCs w:val="24"/>
      </w:rPr>
    </w:pPr>
    <w:r>
      <w:rPr>
        <w:rFonts w:cstheme="minorHAnsi"/>
        <w:bCs/>
        <w:noProof/>
        <w:color w:val="000000"/>
        <w:sz w:val="16"/>
        <w:szCs w:val="16"/>
        <w:lang w:val="en-GB"/>
      </w:rPr>
      <w:drawing>
        <wp:anchor distT="0" distB="0" distL="114300" distR="114300" simplePos="0" relativeHeight="251661312" behindDoc="0" locked="0" layoutInCell="1" allowOverlap="1" wp14:anchorId="175CEBF7" wp14:editId="5BF6B3DB">
          <wp:simplePos x="0" y="0"/>
          <wp:positionH relativeFrom="page">
            <wp:posOffset>6453505</wp:posOffset>
          </wp:positionH>
          <wp:positionV relativeFrom="paragraph">
            <wp:posOffset>-257175</wp:posOffset>
          </wp:positionV>
          <wp:extent cx="954405" cy="6941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rotWithShape="1">
                  <a:blip r:embed="rId1" cstate="print">
                    <a:extLst>
                      <a:ext uri="{28A0092B-C50C-407E-A947-70E740481C1C}">
                        <a14:useLocalDpi xmlns:a14="http://schemas.microsoft.com/office/drawing/2010/main" val="0"/>
                      </a:ext>
                    </a:extLst>
                  </a:blip>
                  <a:srcRect l="34044" r="20564" b="51511"/>
                  <a:stretch/>
                </pic:blipFill>
                <pic:spPr bwMode="auto">
                  <a:xfrm>
                    <a:off x="0" y="0"/>
                    <a:ext cx="954405" cy="6941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0288FDBD" w:rsidR="00623986" w:rsidRPr="009A6788" w:rsidRDefault="00430780" w:rsidP="009A6788">
    <w:pPr>
      <w:pStyle w:val="Footer"/>
      <w:jc w:val="center"/>
      <w:rPr>
        <w:rFonts w:ascii="Arial" w:hAnsi="Arial" w:cs="Arial"/>
        <w:sz w:val="16"/>
        <w:szCs w:val="16"/>
        <w:lang w:val="fr-BE"/>
      </w:rPr>
    </w:pPr>
    <w:r>
      <w:rPr>
        <w:rFonts w:cstheme="minorHAnsi"/>
        <w:bCs/>
        <w:noProof/>
        <w:color w:val="000000"/>
        <w:sz w:val="16"/>
        <w:szCs w:val="16"/>
        <w:lang w:val="en-GB"/>
      </w:rPr>
      <w:drawing>
        <wp:anchor distT="0" distB="0" distL="114300" distR="114300" simplePos="0" relativeHeight="251659264" behindDoc="0" locked="0" layoutInCell="1" allowOverlap="1" wp14:anchorId="3A4CA121" wp14:editId="688DFEE4">
          <wp:simplePos x="0" y="0"/>
          <wp:positionH relativeFrom="page">
            <wp:posOffset>6491605</wp:posOffset>
          </wp:positionH>
          <wp:positionV relativeFrom="paragraph">
            <wp:posOffset>-266700</wp:posOffset>
          </wp:positionV>
          <wp:extent cx="954405" cy="6941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rotWithShape="1">
                  <a:blip r:embed="rId1" cstate="print">
                    <a:extLst>
                      <a:ext uri="{28A0092B-C50C-407E-A947-70E740481C1C}">
                        <a14:useLocalDpi xmlns:a14="http://schemas.microsoft.com/office/drawing/2010/main" val="0"/>
                      </a:ext>
                    </a:extLst>
                  </a:blip>
                  <a:srcRect l="34044" r="20564" b="51511"/>
                  <a:stretch/>
                </pic:blipFill>
                <pic:spPr bwMode="auto">
                  <a:xfrm>
                    <a:off x="0" y="0"/>
                    <a:ext cx="954405" cy="6941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3986">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A" w14:textId="43FA0931"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903FA0">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8D9B" w14:textId="77777777" w:rsidR="001E3542" w:rsidRDefault="001E3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00A8FA00" w:rsidR="00623986" w:rsidRDefault="00623986">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1C23BF3A"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D75CA0">
      <w:rPr>
        <w:rFonts w:ascii="Arial Narrow" w:hAnsi="Arial Narrow" w:cs="Arial"/>
        <w:sz w:val="18"/>
        <w:szCs w:val="18"/>
        <w:lang w:val="en-GB"/>
      </w:rPr>
      <w:t>8</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DE71B1"/>
    <w:multiLevelType w:val="hybridMultilevel"/>
    <w:tmpl w:val="1D603E60"/>
    <w:lvl w:ilvl="0" w:tplc="401E39CC">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7"/>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283"/>
  <w:displayHorizontalDrawingGridEvery w:val="0"/>
  <w:displayVerticalDrawingGridEvery w:val="0"/>
  <w:doNotUseMarginsForDrawingGridOrigin/>
  <w:characterSpacingControl w:val="doNotCompress"/>
  <w:hdrShapeDefaults>
    <o:shapedefaults v:ext="edit" spidmax="3481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Y1sjAzNTI0NTU0NzBQ0lEKTi0uzszPAykwrAUADRB+XywAAAA="/>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4A1D"/>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3542"/>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3AE"/>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0780"/>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3FA0"/>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5723509"/>
  <w15:docId w15:val="{7DF913DE-81D3-47F2-AD32-B2F3324F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86791303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B1/B2</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schemas.openxmlformats.org/package/2006/metadata/core-properties"/>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microsoft.com/office/2006/documentManagement/types"/>
    <ds:schemaRef ds:uri="cfd06d9f-862c-4359-9a69-c66ff689f26a"/>
    <ds:schemaRef ds:uri="http://www.w3.org/XML/1998/namespace"/>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C4755B1C-C01A-45F4-82A1-7E765324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B444A-7F1D-47FE-9DE7-E6F8133E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2207</Words>
  <Characters>11985</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Mariana Reis De Almeida</cp:lastModifiedBy>
  <cp:revision>6</cp:revision>
  <cp:lastPrinted>2014-06-03T10:21:00Z</cp:lastPrinted>
  <dcterms:created xsi:type="dcterms:W3CDTF">2018-02-19T15:45:00Z</dcterms:created>
  <dcterms:modified xsi:type="dcterms:W3CDTF">2018-02-19T15:53:00Z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86a2108b-8015-45b4-a03b-cf4c4afb0df7_Enabled">
    <vt:lpwstr>True</vt:lpwstr>
  </property>
  <property fmtid="{D5CDD505-2E9C-101B-9397-08002B2CF9AE}" pid="4" name="MSIP_Label_86a2108b-8015-45b4-a03b-cf4c4afb0df7_SiteId">
    <vt:lpwstr>0aea2147-cbd3-4025-a822-a3fe4746e7af</vt:lpwstr>
  </property>
  <property fmtid="{D5CDD505-2E9C-101B-9397-08002B2CF9AE}" pid="5" name="MSIP_Label_86a2108b-8015-45b4-a03b-cf4c4afb0df7_Ref">
    <vt:lpwstr>https://api.informationprotection.azure.com/api/0aea2147-cbd3-4025-a822-a3fe4746e7af</vt:lpwstr>
  </property>
  <property fmtid="{D5CDD505-2E9C-101B-9397-08002B2CF9AE}" pid="6" name="MSIP_Label_86a2108b-8015-45b4-a03b-cf4c4afb0df7_Owner">
    <vt:lpwstr>malmeida@hea.ie</vt:lpwstr>
  </property>
  <property fmtid="{D5CDD505-2E9C-101B-9397-08002B2CF9AE}" pid="7" name="MSIP_Label_86a2108b-8015-45b4-a03b-cf4c4afb0df7_SetDate">
    <vt:lpwstr>2018-02-19T15:45:16.3843679+00:00</vt:lpwstr>
  </property>
  <property fmtid="{D5CDD505-2E9C-101B-9397-08002B2CF9AE}" pid="8" name="MSIP_Label_86a2108b-8015-45b4-a03b-cf4c4afb0df7_Name">
    <vt:lpwstr>Public</vt:lpwstr>
  </property>
  <property fmtid="{D5CDD505-2E9C-101B-9397-08002B2CF9AE}" pid="9" name="MSIP_Label_86a2108b-8015-45b4-a03b-cf4c4afb0df7_Application">
    <vt:lpwstr>Microsoft Azure Information Protection</vt:lpwstr>
  </property>
  <property fmtid="{D5CDD505-2E9C-101B-9397-08002B2CF9AE}" pid="10" name="MSIP_Label_86a2108b-8015-45b4-a03b-cf4c4afb0df7_Extended_MSFT_Method">
    <vt:lpwstr>Manual</vt:lpwstr>
  </property>
  <property fmtid="{D5CDD505-2E9C-101B-9397-08002B2CF9AE}" pid="11" name="Sensitivity">
    <vt:lpwstr>Public</vt:lpwstr>
  </property>
</Properties>
</file>