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77777777"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3CCEC401" w:rsidR="001B2A38" w:rsidRPr="001B2A38" w:rsidRDefault="001B2A38" w:rsidP="2156E4C0">
      <w:pPr>
        <w:rPr>
          <w:lang w:val="en-GB"/>
        </w:rPr>
      </w:pPr>
      <w:r w:rsidRPr="001B2A38">
        <w:rPr>
          <w:lang w:val="en-GB"/>
        </w:rPr>
        <w:t>Erasmus code:</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7777777" w:rsidR="0023790E" w:rsidRDefault="00DD7346" w:rsidP="00735E06">
      <w:pPr>
        <w:rPr>
          <w:rFonts w:ascii="Calibri" w:hAnsi="Calibri" w:cs="Calibri"/>
          <w:snapToGrid/>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5860088C"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add below tickboxes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7F6CB2">
        <w:rPr>
          <w:highlight w:val="yellow"/>
          <w:lang w:val="en-GB"/>
        </w:rPr>
        <w:t>The total duration of the</w:t>
      </w:r>
      <w:r w:rsidR="003F5FB0">
        <w:rPr>
          <w:highlight w:val="yellow"/>
          <w:lang w:val="en-GB"/>
        </w:rPr>
        <w:t xml:space="preserve"> physical</w:t>
      </w:r>
      <w:r w:rsidR="00C560D5" w:rsidRPr="007F6CB2">
        <w:rPr>
          <w:highlight w:val="yellow"/>
          <w:lang w:val="en-GB"/>
        </w:rPr>
        <w:t xml:space="preserve"> mobility period</w:t>
      </w:r>
      <w:r w:rsidR="00CA5BB0" w:rsidRPr="007F6CB2">
        <w:rPr>
          <w:highlight w:val="yellow"/>
          <w:lang w:val="en-GB"/>
        </w:rPr>
        <w:t xml:space="preserve"> </w:t>
      </w:r>
      <w:r w:rsidR="00C560D5" w:rsidRPr="007F6CB2">
        <w:rPr>
          <w:highlight w:val="yellow"/>
          <w:lang w:val="en-GB"/>
        </w:rPr>
        <w:t>shall not exceed 12 months</w:t>
      </w:r>
      <w:r w:rsidR="008D5E68" w:rsidRPr="007F6CB2">
        <w:rPr>
          <w:highlight w:val="yellow"/>
          <w:lang w:val="en-GB"/>
        </w:rPr>
        <w:t>, including any zero grant period.</w:t>
      </w:r>
      <w:r w:rsidR="0053777C">
        <w:rPr>
          <w:lang w:val="en-GB"/>
        </w:rPr>
        <w:t xml:space="preserve"> [</w:t>
      </w:r>
      <w:r w:rsidR="0053777C">
        <w:rPr>
          <w:highlight w:val="cyan"/>
          <w:lang w:val="en-GB"/>
        </w:rPr>
        <w:t>For short</w:t>
      </w:r>
      <w:r w:rsidR="0053777C" w:rsidRPr="007F6CB2">
        <w:rPr>
          <w:highlight w:val="cyan"/>
          <w:lang w:val="en-GB"/>
        </w:rPr>
        <w:t>-term mobility</w:t>
      </w:r>
      <w:r w:rsidR="0053777C">
        <w:rPr>
          <w:lang w:val="en-GB"/>
        </w:rPr>
        <w:t xml:space="preserve">] </w:t>
      </w:r>
      <w:r w:rsidR="0053777C" w:rsidRPr="007F6CB2">
        <w:rPr>
          <w:highlight w:val="yellow"/>
          <w:lang w:val="en-GB"/>
        </w:rPr>
        <w:t>The total duration of the</w:t>
      </w:r>
      <w:r w:rsidR="0053777C">
        <w:rPr>
          <w:highlight w:val="yellow"/>
          <w:lang w:val="en-GB"/>
        </w:rPr>
        <w:t xml:space="preserve"> physical</w:t>
      </w:r>
      <w:r w:rsidR="0053777C" w:rsidRPr="007F6CB2">
        <w:rPr>
          <w:highlight w:val="yellow"/>
          <w:lang w:val="en-GB"/>
        </w:rPr>
        <w:t xml:space="preserve"> mobility period shall not </w:t>
      </w:r>
      <w:r w:rsidR="0053777C" w:rsidRPr="0053777C">
        <w:rPr>
          <w:highlight w:val="yellow"/>
          <w:lang w:val="en-GB"/>
        </w:rPr>
        <w:t>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Pr>
          <w:lang w:val="en-GB"/>
        </w:rPr>
        <w:t xml:space="preserve">The participant may submit a </w:t>
      </w:r>
      <w:r w:rsidR="00E130F4" w:rsidRPr="00E130F4">
        <w:rPr>
          <w:lang w:val="en-GB"/>
        </w:rPr>
        <w:t xml:space="preserve">request concerning the extension of the mobility period within </w:t>
      </w:r>
      <w:r w:rsidR="00E130F4">
        <w:rPr>
          <w:lang w:val="en-GB"/>
        </w:rPr>
        <w:t>the limit set out in article 2.4</w:t>
      </w:r>
      <w:r w:rsidR="00E130F4" w:rsidRPr="00E130F4">
        <w:rPr>
          <w:lang w:val="en-GB"/>
        </w:rPr>
        <w:t>. If the organisation agrees to extend the duration of the mobility period, the agreement shall be amended accordingly</w:t>
      </w:r>
      <w:r w:rsidR="001B2A38">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68F8FB4A"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DF1608">
        <w:rPr>
          <w:lang w:val="en-GB"/>
        </w:rPr>
        <w:t>[[</w:t>
      </w:r>
      <w:r w:rsidR="00DF1608">
        <w:rPr>
          <w:highlight w:val="cyan"/>
          <w:lang w:val="en-GB"/>
        </w:rPr>
        <w:t>for long</w:t>
      </w:r>
      <w:r w:rsidR="00DF1608" w:rsidRPr="007F6CB2">
        <w:rPr>
          <w:highlight w:val="cyan"/>
          <w:lang w:val="en-GB"/>
        </w:rPr>
        <w:t>-term mobility</w:t>
      </w:r>
      <w:r w:rsidR="00DF1608" w:rsidRPr="00DF1608">
        <w:rPr>
          <w:highlight w:val="cyan"/>
          <w:lang w:val="en-GB"/>
        </w:rPr>
        <w:t>]</w:t>
      </w:r>
      <w:r w:rsidR="00DF1608" w:rsidRPr="00DF1608">
        <w:rPr>
          <w:highlight w:val="yellow"/>
          <w:u w:val="single"/>
          <w:lang w:val="en-GB"/>
        </w:rPr>
        <w:t xml:space="preserve"> </w:t>
      </w:r>
      <w:r w:rsidR="000E502A" w:rsidRPr="00DF1608">
        <w:rPr>
          <w:highlight w:val="yellow"/>
          <w:u w:val="single"/>
          <w:lang w:val="en-GB"/>
        </w:rPr>
        <w:t xml:space="preserve">[…] per </w:t>
      </w:r>
      <w:r w:rsidR="00A725B1" w:rsidRPr="00DF1608">
        <w:rPr>
          <w:highlight w:val="yellow"/>
          <w:u w:val="single"/>
          <w:lang w:val="en-GB"/>
        </w:rPr>
        <w:t>month and EUR […] per extra days</w:t>
      </w:r>
      <w:r w:rsidR="00DF1608">
        <w:rPr>
          <w:u w:val="single"/>
          <w:lang w:val="en-GB"/>
        </w:rPr>
        <w:t>] [</w:t>
      </w:r>
      <w:r w:rsidR="00DF1608">
        <w:rPr>
          <w:lang w:val="en-GB"/>
        </w:rPr>
        <w:t>[</w:t>
      </w:r>
      <w:r w:rsidR="00DF1608">
        <w:rPr>
          <w:highlight w:val="cyan"/>
          <w:lang w:val="en-GB"/>
        </w:rPr>
        <w:t>for short</w:t>
      </w:r>
      <w:r w:rsidR="00DF1608" w:rsidRPr="007F6CB2">
        <w:rPr>
          <w:highlight w:val="cyan"/>
          <w:lang w:val="en-GB"/>
        </w:rPr>
        <w:t>-term mobility</w:t>
      </w:r>
      <w:r w:rsidR="00DF1608">
        <w:rPr>
          <w:lang w:val="en-GB"/>
        </w:rPr>
        <w:t xml:space="preserve">] </w:t>
      </w:r>
      <w:r w:rsidR="00B34EF0" w:rsidRPr="00CA04F8">
        <w:rPr>
          <w:highlight w:val="yellow"/>
          <w:lang w:val="en-GB"/>
        </w:rPr>
        <w:t>EUR 70 per day up to the 14th day of physical activity and EUR 50 per day from the 15th day</w:t>
      </w:r>
      <w:r w:rsidR="00235168" w:rsidRPr="00CA04F8">
        <w:rPr>
          <w:lang w:val="en-GB"/>
        </w:rPr>
        <w:t xml:space="preserve"> </w:t>
      </w:r>
      <w:r w:rsidR="00235168" w:rsidRPr="004A398B">
        <w:rPr>
          <w:highlight w:val="yellow"/>
          <w:lang w:val="en-GB"/>
        </w:rPr>
        <w:t>[</w:t>
      </w:r>
      <w:r w:rsidR="00B34EF0" w:rsidRPr="004A398B">
        <w:rPr>
          <w:highlight w:val="cyan"/>
          <w:lang w:val="en-GB"/>
        </w:rPr>
        <w:t>if applicable</w:t>
      </w:r>
      <w:r w:rsidR="00B34EF0" w:rsidRPr="00A7299D">
        <w:rPr>
          <w:highlight w:val="cyan"/>
          <w:lang w:val="en-GB"/>
        </w:rPr>
        <w:t>:</w:t>
      </w:r>
      <w:r w:rsidR="00B34EF0" w:rsidRPr="00A7299D">
        <w:rPr>
          <w:lang w:val="en-GB"/>
        </w:rPr>
        <w:t xml:space="preserve"> </w:t>
      </w:r>
      <w:r w:rsidR="00235168" w:rsidRPr="004A398B">
        <w:rPr>
          <w:highlight w:val="yellow"/>
          <w:lang w:val="en-GB"/>
        </w:rPr>
        <w:t xml:space="preserve">and </w:t>
      </w:r>
      <w:r w:rsidR="00A7299D">
        <w:rPr>
          <w:highlight w:val="yellow"/>
          <w:lang w:val="en-GB"/>
        </w:rPr>
        <w:t xml:space="preserve">includes applicable </w:t>
      </w:r>
      <w:r w:rsidR="00235168" w:rsidRPr="004A398B">
        <w:rPr>
          <w:highlight w:val="yellow"/>
          <w:lang w:val="en-GB"/>
        </w:rPr>
        <w:t>top-up</w:t>
      </w:r>
      <w:r w:rsidR="00B93D32">
        <w:rPr>
          <w:highlight w:val="yellow"/>
          <w:lang w:val="en-GB"/>
        </w:rPr>
        <w:t>s</w:t>
      </w:r>
      <w:r w:rsidR="00DF1608" w:rsidRPr="004A398B">
        <w:rPr>
          <w:highlight w:val="yellow"/>
          <w:u w:val="single"/>
          <w:lang w:val="en-GB"/>
        </w:rPr>
        <w:t>]</w:t>
      </w:r>
      <w:r w:rsidR="00A7299D">
        <w:rPr>
          <w:lang w:val="en-GB"/>
        </w:rPr>
        <w:t xml:space="preserve"> </w:t>
      </w:r>
      <w:r w:rsidR="00A7299D" w:rsidRPr="00E85FDD">
        <w:rPr>
          <w:lang w:val="en-GB"/>
        </w:rPr>
        <w:t>[</w:t>
      </w:r>
      <w:r w:rsidR="00A7299D" w:rsidRPr="00E85FDD">
        <w:rPr>
          <w:highlight w:val="cyan"/>
          <w:lang w:val="en-GB"/>
        </w:rPr>
        <w:t>if applicable:</w:t>
      </w:r>
      <w:r w:rsidR="00A7299D" w:rsidRPr="00E85FDD">
        <w:rPr>
          <w:lang w:val="en-GB"/>
        </w:rPr>
        <w:t xml:space="preserve"> </w:t>
      </w:r>
      <w:r w:rsidR="00A7299D" w:rsidRPr="00E85FDD">
        <w:rPr>
          <w:highlight w:val="yellow"/>
          <w:lang w:val="en-GB"/>
        </w:rPr>
        <w:t>and includes EUR [...] for travel</w:t>
      </w:r>
      <w:r w:rsidR="00A7299D" w:rsidRPr="00E85FDD">
        <w:rPr>
          <w:lang w:val="en-GB"/>
        </w:rPr>
        <w:t>.[</w:t>
      </w:r>
      <w:r w:rsidR="00A7299D" w:rsidRPr="00E85FDD">
        <w:rPr>
          <w:highlight w:val="yellow"/>
          <w:lang w:val="en-GB"/>
        </w:rPr>
        <w:t>For zero-grant participants, the contribution for travel should be 0</w:t>
      </w:r>
      <w:r w:rsidR="00A7299D" w:rsidRPr="00E85FDD">
        <w:rPr>
          <w:lang w:val="en-GB"/>
        </w:rPr>
        <w:t>]</w:t>
      </w:r>
      <w:r w:rsidR="00235168" w:rsidRPr="00A7299D">
        <w:rPr>
          <w:lang w:val="en-GB"/>
        </w:rPr>
        <w:t xml:space="preserve"> </w:t>
      </w:r>
      <w:r w:rsidR="00235168" w:rsidRPr="004A398B">
        <w:rPr>
          <w:lang w:val="en-GB"/>
        </w:rPr>
        <w:t>[</w:t>
      </w:r>
      <w:r w:rsidR="00235168" w:rsidRPr="004A398B">
        <w:rPr>
          <w:highlight w:val="cyan"/>
          <w:lang w:val="en-GB"/>
        </w:rPr>
        <w:t>if applicable:</w:t>
      </w:r>
      <w:r w:rsidR="00235168" w:rsidRPr="004A398B">
        <w:rPr>
          <w:lang w:val="en-GB"/>
        </w:rPr>
        <w:t xml:space="preserve"> </w:t>
      </w:r>
      <w:r w:rsidR="00235168" w:rsidRPr="004A398B">
        <w:rPr>
          <w:highlight w:val="yellow"/>
          <w:lang w:val="en-GB"/>
        </w:rPr>
        <w:t xml:space="preserve"> and includes EUR […] for [….] funded travel days</w:t>
      </w:r>
      <w:r w:rsidR="00235168" w:rsidRPr="004A398B">
        <w:rPr>
          <w:lang w:val="en-GB"/>
        </w:rPr>
        <w:t>]</w:t>
      </w:r>
      <w:r w:rsidR="000E502A" w:rsidRPr="004A398B">
        <w:rPr>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0B8B157A" w14:textId="35078EE1" w:rsidR="00412CD1" w:rsidRDefault="00F653E1" w:rsidP="2156E4C0">
      <w:pPr>
        <w:ind w:left="567" w:hanging="567"/>
        <w:jc w:val="both"/>
        <w:rPr>
          <w:lang w:val="en-GB"/>
        </w:rPr>
      </w:pPr>
      <w:r>
        <w:rPr>
          <w:lang w:val="en-GB"/>
        </w:rPr>
        <w:t>3</w:t>
      </w:r>
      <w:r w:rsidR="00567F0A">
        <w:rPr>
          <w:lang w:val="en-GB"/>
        </w:rPr>
        <w:t>.</w:t>
      </w:r>
      <w:r w:rsidR="00DD4977">
        <w:rPr>
          <w:lang w:val="en-GB"/>
        </w:rPr>
        <w:t>7</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13955012" w:rsidR="00E92E00" w:rsidRDefault="00F653E1" w:rsidP="2156E4C0">
      <w:pPr>
        <w:ind w:left="567" w:hanging="567"/>
        <w:jc w:val="both"/>
        <w:rPr>
          <w:lang w:val="en-GB"/>
        </w:rPr>
      </w:pPr>
      <w:r w:rsidRPr="00BD475C">
        <w:rPr>
          <w:lang w:val="en-GB"/>
        </w:rPr>
        <w:t>3</w:t>
      </w:r>
      <w:r w:rsidR="007D2E98" w:rsidRPr="00F66F07">
        <w:rPr>
          <w:lang w:val="en-GB"/>
        </w:rPr>
        <w:t>.</w:t>
      </w:r>
      <w:r w:rsidR="00DD4977">
        <w:rPr>
          <w:lang w:val="en-GB"/>
        </w:rPr>
        <w:t>8</w:t>
      </w:r>
      <w:r w:rsidR="007D2E98" w:rsidRPr="00F66F07">
        <w:rPr>
          <w:lang w:val="en-GB"/>
        </w:rPr>
        <w:tab/>
      </w:r>
      <w:r w:rsidR="009823AB" w:rsidRPr="00F66F07">
        <w:rPr>
          <w:lang w:val="en-GB"/>
        </w:rPr>
        <w:t>Notwithstanding article 3.</w:t>
      </w:r>
      <w:r w:rsidR="00B93D32">
        <w:rPr>
          <w:lang w:val="en-GB"/>
        </w:rPr>
        <w:t>7</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0384D71A" w14:textId="59658443" w:rsidR="00015735" w:rsidRDefault="00F653E1" w:rsidP="00322E1A">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 shall be made to the participant representing [organisation to choose between 70% and 100%]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118D42B4" w14:textId="371BF808" w:rsidR="00105F02" w:rsidRPr="00015735" w:rsidRDefault="2156E4C0" w:rsidP="2156E4C0">
      <w:pPr>
        <w:ind w:left="567"/>
        <w:jc w:val="both"/>
        <w:rPr>
          <w:lang w:val="en-GB"/>
        </w:rPr>
      </w:pPr>
      <w:r w:rsidRPr="2156E4C0">
        <w:rPr>
          <w:highlight w:val="yellow"/>
          <w:lang w:val="en-GB"/>
        </w:rPr>
        <w:t>[</w:t>
      </w:r>
      <w:r w:rsidRPr="2156E4C0">
        <w:rPr>
          <w:highlight w:val="cyan"/>
          <w:lang w:val="en-GB"/>
        </w:rPr>
        <w:t>NA may add</w:t>
      </w:r>
      <w:r w:rsidRPr="2156E4C0">
        <w:rPr>
          <w:highlight w:val="yellow"/>
          <w:lang w:val="en-GB"/>
        </w:rPr>
        <w:t>: per semester</w:t>
      </w:r>
      <w:r w:rsidRPr="2156E4C0">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686C4577"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4662BCB4"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 xml:space="preserve"> 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77777777" w:rsidR="004F0BB1" w:rsidRPr="00235040" w:rsidRDefault="004F0BB1" w:rsidP="004F0BB1">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2156E4C0">
        <w:rPr>
          <w:sz w:val="18"/>
          <w:szCs w:val="18"/>
          <w:lang w:val="en-GB"/>
        </w:rPr>
        <w:t xml:space="preserve">The National Agency of </w:t>
      </w:r>
      <w:r w:rsidRPr="2156E4C0">
        <w:rPr>
          <w:sz w:val="18"/>
          <w:szCs w:val="18"/>
          <w:highlight w:val="yellow"/>
          <w:lang w:val="en-GB"/>
        </w:rPr>
        <w:t>[country]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2156E4C0">
        <w:rPr>
          <w:sz w:val="18"/>
          <w:szCs w:val="18"/>
          <w:highlight w:val="yellow"/>
          <w:lang w:val="en-GB"/>
        </w:rPr>
        <w:t>[country]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w:t>
      </w:r>
      <w:bookmarkStart w:id="0" w:name="_GoBack"/>
      <w:bookmarkEnd w:id="0"/>
      <w:r w:rsidRPr="2156E4C0">
        <w:rPr>
          <w:sz w:val="18"/>
          <w:szCs w:val="18"/>
          <w:lang w:val="en-GB"/>
        </w:rPr>
        <w:t>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2156E4C0">
        <w:rPr>
          <w:sz w:val="18"/>
          <w:szCs w:val="18"/>
          <w:highlight w:val="yellow"/>
          <w:lang w:val="en-GB"/>
        </w:rPr>
        <w:t>[country]</w:t>
      </w:r>
      <w:r w:rsidRPr="2156E4C0">
        <w:rPr>
          <w:sz w:val="18"/>
          <w:szCs w:val="18"/>
          <w:lang w:val="en-GB"/>
        </w:rPr>
        <w:t xml:space="preserve"> or by any other outside body authorised by the European Commission or the National Agency of </w:t>
      </w:r>
      <w:r w:rsidRPr="2156E4C0">
        <w:rPr>
          <w:sz w:val="18"/>
          <w:szCs w:val="18"/>
          <w:highlight w:val="yellow"/>
          <w:lang w:val="en-GB"/>
        </w:rPr>
        <w:t>[country]</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0CA3A58C"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D7346">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C72DF49"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D7346">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DD7346" w:rsidP="001B2A38">
      <w:pPr>
        <w:pStyle w:val="FootnoteText"/>
        <w:rPr>
          <w:lang w:val="hr-HR"/>
        </w:rPr>
      </w:pPr>
      <w:hyperlink r:id="rId1" w:history="1">
        <w:r w:rsidR="001B2A38"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D103" w14:textId="77777777" w:rsidR="0039072C" w:rsidRDefault="0039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AC1DCB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05473"/>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b01951-1c45-4a5c-a97e-d9358664634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AE9A92C-2710-4A6D-B0E3-5A8878FA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2597</Words>
  <Characters>14155</Characters>
  <Application>Microsoft Office Word</Application>
  <DocSecurity>0</DocSecurity>
  <Lines>288</Lines>
  <Paragraphs>125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MUNOZ Marta (EAC)</cp:lastModifiedBy>
  <cp:revision>14</cp:revision>
  <cp:lastPrinted>2015-03-04T15:51:00Z</cp:lastPrinted>
  <dcterms:created xsi:type="dcterms:W3CDTF">2021-08-25T07:30:00Z</dcterms:created>
  <dcterms:modified xsi:type="dcterms:W3CDTF">2021-08-30T14:44:00Z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